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AE" w:rsidRPr="003567C9" w:rsidRDefault="00EF52AE" w:rsidP="003567C9">
      <w:pPr>
        <w:jc w:val="center"/>
        <w:rPr>
          <w:b/>
        </w:rPr>
      </w:pPr>
      <w:bookmarkStart w:id="0" w:name="_GoBack"/>
      <w:bookmarkEnd w:id="0"/>
      <w:r w:rsidRPr="003567C9">
        <w:rPr>
          <w:b/>
        </w:rPr>
        <w:t>Beneficjenci programu YFEJ</w:t>
      </w:r>
    </w:p>
    <w:p w:rsidR="00FD1CA7" w:rsidRPr="003567C9" w:rsidRDefault="00FD1CA7" w:rsidP="003567C9">
      <w:pPr>
        <w:jc w:val="both"/>
      </w:pPr>
      <w:r w:rsidRPr="003567C9">
        <w:t>Kryteria kwalifikacji młodzieży</w:t>
      </w:r>
      <w:r w:rsidR="003207EF" w:rsidRPr="003567C9">
        <w:t>:</w:t>
      </w:r>
    </w:p>
    <w:p w:rsidR="00EF52AE" w:rsidRPr="003567C9" w:rsidRDefault="00FD1CA7" w:rsidP="003567C9">
      <w:pPr>
        <w:pStyle w:val="Akapitzlist"/>
        <w:numPr>
          <w:ilvl w:val="0"/>
          <w:numId w:val="8"/>
        </w:numPr>
        <w:jc w:val="both"/>
      </w:pPr>
      <w:r w:rsidRPr="003567C9">
        <w:t>wiek 18-35 lat w chwili składania wniosku,</w:t>
      </w:r>
    </w:p>
    <w:p w:rsidR="00FD1CA7" w:rsidRPr="003567C9" w:rsidRDefault="00FD1CA7" w:rsidP="003567C9">
      <w:pPr>
        <w:pStyle w:val="Akapitzlist"/>
        <w:numPr>
          <w:ilvl w:val="0"/>
          <w:numId w:val="8"/>
        </w:numPr>
        <w:jc w:val="both"/>
      </w:pPr>
      <w:r w:rsidRPr="003567C9">
        <w:t>obywatele i osoby legalnie zamieszkujące w kraju UE lub państwie należącym do EOG/EFTA,</w:t>
      </w:r>
    </w:p>
    <w:p w:rsidR="00FD1CA7" w:rsidRPr="003567C9" w:rsidRDefault="00FD1CA7" w:rsidP="003567C9">
      <w:pPr>
        <w:pStyle w:val="Akapitzlist"/>
        <w:numPr>
          <w:ilvl w:val="0"/>
          <w:numId w:val="8"/>
        </w:numPr>
        <w:jc w:val="both"/>
      </w:pPr>
      <w:r w:rsidRPr="003567C9">
        <w:t>osoby poszukujące zatrudnienia w innym kraju UE, lub państwie należącym do EOG/EFTA (Norwegia, Islandia),</w:t>
      </w:r>
    </w:p>
    <w:p w:rsidR="00FD1CA7" w:rsidRPr="003567C9" w:rsidRDefault="00FD1CA7" w:rsidP="003567C9">
      <w:pPr>
        <w:pStyle w:val="Akapitzlist"/>
        <w:numPr>
          <w:ilvl w:val="0"/>
          <w:numId w:val="8"/>
        </w:numPr>
        <w:jc w:val="both"/>
      </w:pPr>
      <w:r w:rsidRPr="003567C9">
        <w:t>niekoniecznie mobilny kandydat poszukujący pracy po raz pierwszy,</w:t>
      </w:r>
    </w:p>
    <w:p w:rsidR="003567C9" w:rsidRPr="003567C9" w:rsidRDefault="003567C9" w:rsidP="003567C9">
      <w:pPr>
        <w:pStyle w:val="Akapitzlist"/>
        <w:numPr>
          <w:ilvl w:val="0"/>
          <w:numId w:val="8"/>
        </w:numPr>
        <w:jc w:val="both"/>
      </w:pPr>
      <w:r w:rsidRPr="003567C9">
        <w:t>może posiadać wysokie lub niskie kwalifi</w:t>
      </w:r>
      <w:r w:rsidRPr="003567C9">
        <w:softHyphen/>
        <w:t>kacje w chwili składania wniosku.</w:t>
      </w:r>
    </w:p>
    <w:p w:rsidR="003207EF" w:rsidRPr="003567C9" w:rsidRDefault="003207EF" w:rsidP="003567C9">
      <w:pPr>
        <w:jc w:val="both"/>
      </w:pPr>
    </w:p>
    <w:p w:rsidR="003207EF" w:rsidRPr="003567C9" w:rsidRDefault="003207EF" w:rsidP="003567C9">
      <w:pPr>
        <w:jc w:val="both"/>
      </w:pPr>
      <w:r w:rsidRPr="003567C9">
        <w:t>Kryteria kwalifikacji pracodawców:</w:t>
      </w:r>
    </w:p>
    <w:p w:rsidR="003207EF" w:rsidRPr="003567C9" w:rsidRDefault="003207EF" w:rsidP="003567C9">
      <w:pPr>
        <w:pStyle w:val="Akapitzlist"/>
        <w:numPr>
          <w:ilvl w:val="0"/>
          <w:numId w:val="9"/>
        </w:numPr>
        <w:jc w:val="both"/>
      </w:pPr>
      <w:r w:rsidRPr="003567C9">
        <w:t>organizacja/przedsiębiorstwo prowadzące zarejestrowaną działalność w jednym z państw UE lub w państwie należącym do EOG/EFTA (Islandia, Norwegia) niezależnie od rozmiaru firmy lub sektora gospodarki,</w:t>
      </w:r>
    </w:p>
    <w:p w:rsidR="003207EF" w:rsidRPr="003567C9" w:rsidRDefault="003207EF" w:rsidP="003567C9">
      <w:pPr>
        <w:pStyle w:val="Akapitzlist"/>
        <w:numPr>
          <w:ilvl w:val="0"/>
          <w:numId w:val="9"/>
        </w:numPr>
        <w:jc w:val="both"/>
      </w:pPr>
      <w:r w:rsidRPr="003567C9">
        <w:t>muszą przestrzegać przepisów prawa pracy i prawa podatkowego obowiązujących w krajach, gdzie prowadzą działalność,</w:t>
      </w:r>
    </w:p>
    <w:p w:rsidR="003207EF" w:rsidRPr="003567C9" w:rsidRDefault="003207EF" w:rsidP="003567C9">
      <w:pPr>
        <w:pStyle w:val="Akapitzlist"/>
        <w:numPr>
          <w:ilvl w:val="0"/>
          <w:numId w:val="9"/>
        </w:numPr>
        <w:jc w:val="both"/>
      </w:pPr>
      <w:r w:rsidRPr="003567C9">
        <w:t>małe i średnie przedsiębiorstwa (MŚP czyli przedsiębiorstwa zatrudniające do 250 pracowników) mogą skorzystać ze wsparcia finansowego.</w:t>
      </w:r>
    </w:p>
    <w:p w:rsidR="003207EF" w:rsidRPr="003567C9" w:rsidRDefault="003207EF" w:rsidP="003567C9">
      <w:pPr>
        <w:jc w:val="both"/>
      </w:pPr>
    </w:p>
    <w:p w:rsidR="003207EF" w:rsidRPr="003567C9" w:rsidRDefault="003207EF" w:rsidP="003567C9">
      <w:pPr>
        <w:jc w:val="center"/>
        <w:rPr>
          <w:b/>
        </w:rPr>
      </w:pPr>
      <w:r w:rsidRPr="003567C9">
        <w:rPr>
          <w:b/>
        </w:rPr>
        <w:t>Miejsca pracy</w:t>
      </w:r>
    </w:p>
    <w:p w:rsidR="003207EF" w:rsidRPr="003567C9" w:rsidRDefault="001227B7" w:rsidP="003567C9">
      <w:pPr>
        <w:pStyle w:val="Akapitzlist"/>
        <w:numPr>
          <w:ilvl w:val="0"/>
          <w:numId w:val="10"/>
        </w:numPr>
        <w:jc w:val="both"/>
      </w:pPr>
      <w:r w:rsidRPr="003567C9">
        <w:t>miejsca pracy, staże i możliwości przyuczenia do zawodu,</w:t>
      </w:r>
    </w:p>
    <w:p w:rsidR="001227B7" w:rsidRPr="003567C9" w:rsidRDefault="001227B7" w:rsidP="003567C9">
      <w:pPr>
        <w:pStyle w:val="Akapitzlist"/>
        <w:numPr>
          <w:ilvl w:val="0"/>
          <w:numId w:val="10"/>
        </w:numPr>
        <w:jc w:val="both"/>
      </w:pPr>
      <w:r w:rsidRPr="003567C9">
        <w:t>miejsce pracy musi znajdować się w kraju UE lub państwie należącym do EFTA/EOG (Islandia, Norwegia) innym niż kraj zamieszkania kandydata,</w:t>
      </w:r>
    </w:p>
    <w:p w:rsidR="001227B7" w:rsidRPr="003567C9" w:rsidRDefault="001227B7" w:rsidP="003567C9">
      <w:pPr>
        <w:pStyle w:val="Akapitzlist"/>
        <w:numPr>
          <w:ilvl w:val="0"/>
          <w:numId w:val="10"/>
        </w:numPr>
        <w:jc w:val="both"/>
      </w:pPr>
      <w:r w:rsidRPr="003567C9">
        <w:t>muszą być przestrzegane krajowe przepisy w zakresie prawa pracy i zabezpieczenia społecznego i muszą być dostępne przejrzyste informacje na temat praw i obowiązków stron,</w:t>
      </w:r>
    </w:p>
    <w:p w:rsidR="001227B7" w:rsidRPr="003567C9" w:rsidRDefault="001227B7" w:rsidP="003567C9">
      <w:pPr>
        <w:pStyle w:val="Akapitzlist"/>
        <w:numPr>
          <w:ilvl w:val="0"/>
          <w:numId w:val="10"/>
        </w:numPr>
        <w:jc w:val="both"/>
      </w:pPr>
      <w:r w:rsidRPr="003567C9">
        <w:t>obowiązkowe jest zapewnienie wynagrodzenia i pisemnej umowy na okres co najmniej 6 miesięcy,</w:t>
      </w:r>
    </w:p>
    <w:p w:rsidR="001227B7" w:rsidRPr="003567C9" w:rsidRDefault="001227B7" w:rsidP="003567C9">
      <w:pPr>
        <w:pStyle w:val="Akapitzlist"/>
        <w:numPr>
          <w:ilvl w:val="0"/>
          <w:numId w:val="10"/>
        </w:numPr>
        <w:jc w:val="both"/>
      </w:pPr>
      <w:r w:rsidRPr="003567C9">
        <w:t>praca musi odbywać się w pełnym lub niepełnym wymiarze czasu (co najmniej 50% ekwiwalentu pełnego czasu pracy),</w:t>
      </w:r>
    </w:p>
    <w:p w:rsidR="001227B7" w:rsidRPr="003567C9" w:rsidRDefault="001227B7" w:rsidP="003567C9">
      <w:pPr>
        <w:pStyle w:val="Akapitzlist"/>
        <w:numPr>
          <w:ilvl w:val="0"/>
          <w:numId w:val="10"/>
        </w:numPr>
        <w:jc w:val="both"/>
      </w:pPr>
      <w:r w:rsidRPr="003567C9">
        <w:t>w przypadku miejsc pracy dla stażystów i osób przyuczających się do zawodu muszą być określone odpowiednie cele nauczania i musi zostać wydane świadectwo lub pisemne oświadczenie stanowiące formalne uznanie wiedzy, umiejętności i kompetencji nabytych podczas stażu lub przyuczenia do zawodu.</w:t>
      </w:r>
    </w:p>
    <w:p w:rsidR="001227B7" w:rsidRPr="003567C9" w:rsidRDefault="001227B7" w:rsidP="003567C9">
      <w:pPr>
        <w:jc w:val="both"/>
      </w:pPr>
    </w:p>
    <w:p w:rsidR="003207EF" w:rsidRPr="003567C9" w:rsidRDefault="001227B7" w:rsidP="003567C9">
      <w:pPr>
        <w:jc w:val="center"/>
        <w:rPr>
          <w:b/>
        </w:rPr>
      </w:pPr>
      <w:r w:rsidRPr="003567C9">
        <w:rPr>
          <w:b/>
        </w:rPr>
        <w:t>Wyłączenia</w:t>
      </w:r>
    </w:p>
    <w:p w:rsidR="001227B7" w:rsidRPr="003567C9" w:rsidRDefault="001227B7" w:rsidP="003567C9">
      <w:pPr>
        <w:pStyle w:val="Akapitzlist"/>
        <w:numPr>
          <w:ilvl w:val="0"/>
          <w:numId w:val="11"/>
        </w:numPr>
        <w:jc w:val="both"/>
      </w:pPr>
      <w:r w:rsidRPr="003567C9">
        <w:t>obywatele, pracodawcy i miejsca pracy z Liechtensteinu, Szwajcarii lub z państw trzecich,</w:t>
      </w:r>
    </w:p>
    <w:p w:rsidR="001227B7" w:rsidRPr="003567C9" w:rsidRDefault="00B37CE9" w:rsidP="003567C9">
      <w:pPr>
        <w:pStyle w:val="Akapitzlist"/>
        <w:numPr>
          <w:ilvl w:val="0"/>
          <w:numId w:val="11"/>
        </w:numPr>
        <w:jc w:val="both"/>
      </w:pPr>
      <w:r w:rsidRPr="003567C9">
        <w:t>pracownicy delegowani,</w:t>
      </w:r>
    </w:p>
    <w:p w:rsidR="00B37CE9" w:rsidRPr="003567C9" w:rsidRDefault="00B37CE9" w:rsidP="003567C9">
      <w:pPr>
        <w:pStyle w:val="Akapitzlist"/>
        <w:numPr>
          <w:ilvl w:val="0"/>
          <w:numId w:val="11"/>
        </w:numPr>
        <w:jc w:val="both"/>
      </w:pPr>
      <w:r w:rsidRPr="003567C9">
        <w:t xml:space="preserve">miejsca pracy w instytucjach </w:t>
      </w:r>
      <w:r w:rsidR="004D62E3" w:rsidRPr="003567C9">
        <w:t>i organach UE oraz w innych podobnych organizacjach międzynarodowych (np. ONZ, OECD, Rada Europy) oraz sieciach lub organizacjach finansowanych ze środków UE,</w:t>
      </w:r>
    </w:p>
    <w:p w:rsidR="004D62E3" w:rsidRPr="003567C9" w:rsidRDefault="004D62E3" w:rsidP="003567C9">
      <w:pPr>
        <w:pStyle w:val="Akapitzlist"/>
        <w:numPr>
          <w:ilvl w:val="0"/>
          <w:numId w:val="11"/>
        </w:numPr>
        <w:jc w:val="both"/>
      </w:pPr>
      <w:r w:rsidRPr="003567C9">
        <w:t>sezonowe lub inne tymczasowe miejsca pracy z okresem obowiązywania krótszym niż 6 miesięcy,</w:t>
      </w:r>
    </w:p>
    <w:p w:rsidR="004D62E3" w:rsidRPr="003567C9" w:rsidRDefault="004D62E3" w:rsidP="003567C9">
      <w:pPr>
        <w:pStyle w:val="Akapitzlist"/>
        <w:numPr>
          <w:ilvl w:val="0"/>
          <w:numId w:val="11"/>
        </w:numPr>
        <w:jc w:val="both"/>
      </w:pPr>
      <w:r w:rsidRPr="003567C9">
        <w:t>staże zawodowe oraz wszelkie inne formy wsparcia szkoleniowego będące elementem obowiązkowych wymogów dotyczących certyfikacji zawodowej, np. w przypadku zawodu lekarza lub prawnika.</w:t>
      </w:r>
    </w:p>
    <w:p w:rsidR="003207EF" w:rsidRPr="003567C9" w:rsidRDefault="003207EF" w:rsidP="003567C9">
      <w:pPr>
        <w:jc w:val="both"/>
      </w:pPr>
    </w:p>
    <w:p w:rsidR="006B03C1" w:rsidRPr="003567C9" w:rsidRDefault="006B03C1" w:rsidP="003567C9">
      <w:pPr>
        <w:jc w:val="center"/>
        <w:rPr>
          <w:b/>
        </w:rPr>
      </w:pPr>
      <w:r w:rsidRPr="003567C9">
        <w:rPr>
          <w:b/>
        </w:rPr>
        <w:t>Środki wsparcia</w:t>
      </w:r>
    </w:p>
    <w:p w:rsidR="006B03C1" w:rsidRPr="003567C9" w:rsidRDefault="006B03C1" w:rsidP="003567C9">
      <w:pPr>
        <w:jc w:val="both"/>
      </w:pPr>
      <w:r w:rsidRPr="003567C9">
        <w:lastRenderedPageBreak/>
        <w:t>Bezpośrednie wsparcie finansowe dla młodzieży:</w:t>
      </w:r>
    </w:p>
    <w:p w:rsidR="006B03C1" w:rsidRPr="003567C9" w:rsidRDefault="006B03C1" w:rsidP="003567C9">
      <w:pPr>
        <w:pStyle w:val="Akapitzlist"/>
        <w:numPr>
          <w:ilvl w:val="0"/>
          <w:numId w:val="12"/>
        </w:numPr>
        <w:jc w:val="both"/>
      </w:pPr>
      <w:r w:rsidRPr="003567C9">
        <w:t>dodatek z tytułu podróży w celu odbycia rozmowy kwalifikacyjnej za granicą (w kraju zamieszkania kandydata lub w innym kraju UE lub w państwie należącym do EOG/EFTA) – 100-350 Euro na pokrycie kosztów podróży (stosownie do odległości i stałej stawki dodatku),</w:t>
      </w:r>
    </w:p>
    <w:p w:rsidR="003A62FC" w:rsidRPr="003567C9" w:rsidRDefault="003A62FC" w:rsidP="003567C9">
      <w:pPr>
        <w:pStyle w:val="Akapitzlist"/>
        <w:numPr>
          <w:ilvl w:val="0"/>
          <w:numId w:val="12"/>
        </w:numPr>
        <w:jc w:val="both"/>
      </w:pPr>
      <w:r w:rsidRPr="003567C9">
        <w:t>dodatek z tytułu przeprowadzki – 635-1270 Euro w zależności od kraju docelowego,</w:t>
      </w:r>
    </w:p>
    <w:p w:rsidR="003A62FC" w:rsidRPr="003567C9" w:rsidRDefault="003A62FC" w:rsidP="003567C9">
      <w:pPr>
        <w:pStyle w:val="Akapitzlist"/>
        <w:numPr>
          <w:ilvl w:val="0"/>
          <w:numId w:val="12"/>
        </w:numPr>
        <w:jc w:val="both"/>
      </w:pPr>
      <w:r w:rsidRPr="003567C9">
        <w:t>kurs językowy – zwrot zadeklarowanych rzeczywiście poniesionych kosztów do 1270 Euro,</w:t>
      </w:r>
    </w:p>
    <w:p w:rsidR="003A62FC" w:rsidRPr="003567C9" w:rsidRDefault="003A62FC" w:rsidP="003567C9">
      <w:pPr>
        <w:pStyle w:val="Akapitzlist"/>
        <w:numPr>
          <w:ilvl w:val="0"/>
          <w:numId w:val="12"/>
        </w:numPr>
        <w:jc w:val="both"/>
      </w:pPr>
      <w:r w:rsidRPr="003567C9">
        <w:t>uznanie kwalifikacji – zwrot zadeklarowanych rzeczywiście poniesionych kosztów do 1000 Euro,</w:t>
      </w:r>
    </w:p>
    <w:p w:rsidR="003207EF" w:rsidRPr="003567C9" w:rsidRDefault="003A62FC" w:rsidP="003567C9">
      <w:pPr>
        <w:pStyle w:val="Akapitzlist"/>
        <w:numPr>
          <w:ilvl w:val="0"/>
          <w:numId w:val="12"/>
        </w:numPr>
        <w:jc w:val="both"/>
      </w:pPr>
      <w:r w:rsidRPr="003567C9">
        <w:t>uzupełniający dodatek z tytułu przeprowadzki – zwrot kwalifikowalnych zadeklarowanych kosztów do 500 Euro.</w:t>
      </w:r>
      <w:r w:rsidR="006B03C1" w:rsidRPr="003567C9">
        <w:t xml:space="preserve">  </w:t>
      </w:r>
    </w:p>
    <w:p w:rsidR="003A62FC" w:rsidRPr="003567C9" w:rsidRDefault="003A62FC" w:rsidP="003567C9">
      <w:pPr>
        <w:jc w:val="both"/>
      </w:pPr>
      <w:r w:rsidRPr="003567C9">
        <w:t>Inne środki wsparcia – służby zatrudnienia mogą zapewniać kompleksowe usługi wsparcia dla młodych kandydatów w okresie przed zatrudnieniem i po nim. Dostępne mogą być następujące usługi świadczone nieodpłatnie:</w:t>
      </w:r>
    </w:p>
    <w:p w:rsidR="003A62FC" w:rsidRPr="003567C9" w:rsidRDefault="003A62FC" w:rsidP="003567C9">
      <w:pPr>
        <w:pStyle w:val="Akapitzlist"/>
        <w:numPr>
          <w:ilvl w:val="0"/>
          <w:numId w:val="14"/>
        </w:numPr>
        <w:jc w:val="both"/>
      </w:pPr>
      <w:r w:rsidRPr="003567C9">
        <w:t>szkolenie przygotowawcze (szkolenie językowe lub niezbędne szkolenie przed przeprowadzką i/lub po niej),</w:t>
      </w:r>
    </w:p>
    <w:p w:rsidR="003A62FC" w:rsidRPr="003567C9" w:rsidRDefault="003A62FC" w:rsidP="003567C9">
      <w:pPr>
        <w:pStyle w:val="Akapitzlist"/>
        <w:numPr>
          <w:ilvl w:val="0"/>
          <w:numId w:val="14"/>
        </w:numPr>
        <w:jc w:val="both"/>
      </w:pPr>
      <w:r w:rsidRPr="003567C9">
        <w:t>mentoring.</w:t>
      </w:r>
    </w:p>
    <w:p w:rsidR="003207EF" w:rsidRPr="003567C9" w:rsidRDefault="003A62FC" w:rsidP="003567C9">
      <w:pPr>
        <w:jc w:val="both"/>
      </w:pPr>
      <w:r w:rsidRPr="003567C9">
        <w:t>Bezpośrednie wsparcie finansowe dla pracodawców:</w:t>
      </w:r>
    </w:p>
    <w:p w:rsidR="003A62FC" w:rsidRPr="003567C9" w:rsidRDefault="003A62FC" w:rsidP="003567C9">
      <w:pPr>
        <w:pStyle w:val="Akapitzlist"/>
        <w:numPr>
          <w:ilvl w:val="0"/>
          <w:numId w:val="13"/>
        </w:numPr>
        <w:jc w:val="both"/>
      </w:pPr>
      <w:r w:rsidRPr="003567C9">
        <w:t xml:space="preserve">program integracyjny dla nowych pracowników mobilnych, stażystów lub praktykantów, może on obejmować co najmniej jeden z następujących elementów: wprowadzające szkolenie zawodowe, kurs językowy – tworzą szkolenie podstawowe, powyższe szkolenia mogą być połączone ze wsparciem administracyjnym i ułatwieniem osiedlenia się – szkolenie kompleksowe – wkład finansowy: 505-1270 Euro na kandydata w zależności od kraju docelowego i rodzaju programu integracyjnego  (podstawowy lub kompleksowy) </w:t>
      </w:r>
    </w:p>
    <w:p w:rsidR="003A62FC" w:rsidRPr="003567C9" w:rsidRDefault="003A62FC" w:rsidP="003567C9">
      <w:pPr>
        <w:jc w:val="both"/>
      </w:pPr>
    </w:p>
    <w:p w:rsidR="003A62FC" w:rsidRPr="003567C9" w:rsidRDefault="003A62FC" w:rsidP="003567C9">
      <w:pPr>
        <w:jc w:val="both"/>
      </w:pPr>
    </w:p>
    <w:p w:rsidR="003A62FC" w:rsidRPr="003567C9" w:rsidRDefault="003A62FC" w:rsidP="003567C9">
      <w:pPr>
        <w:jc w:val="both"/>
      </w:pPr>
    </w:p>
    <w:sectPr w:rsidR="003A62FC" w:rsidRPr="003567C9" w:rsidSect="00693606">
      <w:pgSz w:w="11906" w:h="16838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C Square Sans Pro Medium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F988AA"/>
    <w:multiLevelType w:val="hybridMultilevel"/>
    <w:tmpl w:val="C9A1FC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55CC3B"/>
    <w:multiLevelType w:val="hybridMultilevel"/>
    <w:tmpl w:val="A298EE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ABF47"/>
    <w:multiLevelType w:val="hybridMultilevel"/>
    <w:tmpl w:val="52E95D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AE202A"/>
    <w:multiLevelType w:val="hybridMultilevel"/>
    <w:tmpl w:val="57B6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4F3B"/>
    <w:multiLevelType w:val="hybridMultilevel"/>
    <w:tmpl w:val="8E1A2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01D"/>
    <w:multiLevelType w:val="hybridMultilevel"/>
    <w:tmpl w:val="B954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7EB4"/>
    <w:multiLevelType w:val="hybridMultilevel"/>
    <w:tmpl w:val="4808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35F3"/>
    <w:multiLevelType w:val="hybridMultilevel"/>
    <w:tmpl w:val="C496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EF2"/>
    <w:multiLevelType w:val="hybridMultilevel"/>
    <w:tmpl w:val="350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79FB"/>
    <w:multiLevelType w:val="hybridMultilevel"/>
    <w:tmpl w:val="FC4E5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96FED4B"/>
    <w:multiLevelType w:val="hybridMultilevel"/>
    <w:tmpl w:val="FF9436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0785F1"/>
    <w:multiLevelType w:val="hybridMultilevel"/>
    <w:tmpl w:val="D218FC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4366B1A"/>
    <w:multiLevelType w:val="hybridMultilevel"/>
    <w:tmpl w:val="228D7F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4EB2957"/>
    <w:multiLevelType w:val="hybridMultilevel"/>
    <w:tmpl w:val="5270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67"/>
    <w:rsid w:val="000E4E7E"/>
    <w:rsid w:val="001227B7"/>
    <w:rsid w:val="00250218"/>
    <w:rsid w:val="003207EF"/>
    <w:rsid w:val="003567C9"/>
    <w:rsid w:val="003A62FC"/>
    <w:rsid w:val="004372DE"/>
    <w:rsid w:val="00480D67"/>
    <w:rsid w:val="004D62E3"/>
    <w:rsid w:val="00693606"/>
    <w:rsid w:val="006B03C1"/>
    <w:rsid w:val="006F50F1"/>
    <w:rsid w:val="00707CD7"/>
    <w:rsid w:val="00B37CE9"/>
    <w:rsid w:val="00EF52AE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82D3C-F101-4B97-B84B-4D9CC7B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2AE"/>
    <w:pPr>
      <w:spacing w:after="0" w:line="240" w:lineRule="auto"/>
    </w:pPr>
    <w:rPr>
      <w:rFonts w:cs="Times New Roman"/>
      <w:color w:val="auto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EF52AE"/>
    <w:pPr>
      <w:autoSpaceDE w:val="0"/>
      <w:autoSpaceDN w:val="0"/>
      <w:adjustRightInd w:val="0"/>
      <w:spacing w:line="281" w:lineRule="atLeast"/>
    </w:pPr>
    <w:rPr>
      <w:rFonts w:ascii="EC Square Sans Pro" w:hAnsi="EC Square Sans Pro" w:cstheme="minorBidi"/>
      <w:color w:val="000000" w:themeColor="text1"/>
      <w:lang w:eastAsia="en-US"/>
    </w:rPr>
  </w:style>
  <w:style w:type="paragraph" w:customStyle="1" w:styleId="Pa15">
    <w:name w:val="Pa15"/>
    <w:basedOn w:val="Normalny"/>
    <w:next w:val="Normalny"/>
    <w:uiPriority w:val="99"/>
    <w:rsid w:val="00EF52AE"/>
    <w:pPr>
      <w:autoSpaceDE w:val="0"/>
      <w:autoSpaceDN w:val="0"/>
      <w:adjustRightInd w:val="0"/>
      <w:spacing w:line="181" w:lineRule="atLeast"/>
    </w:pPr>
    <w:rPr>
      <w:rFonts w:ascii="EC Square Sans Pro" w:hAnsi="EC Square Sans Pro" w:cstheme="minorBidi"/>
      <w:color w:val="000000" w:themeColor="text1"/>
      <w:lang w:eastAsia="en-US"/>
    </w:rPr>
  </w:style>
  <w:style w:type="paragraph" w:customStyle="1" w:styleId="Pa19">
    <w:name w:val="Pa19"/>
    <w:basedOn w:val="Normalny"/>
    <w:next w:val="Normalny"/>
    <w:uiPriority w:val="99"/>
    <w:rsid w:val="00EF52AE"/>
    <w:pPr>
      <w:autoSpaceDE w:val="0"/>
      <w:autoSpaceDN w:val="0"/>
      <w:adjustRightInd w:val="0"/>
      <w:spacing w:line="241" w:lineRule="atLeast"/>
    </w:pPr>
    <w:rPr>
      <w:rFonts w:ascii="EC Square Sans Pro" w:hAnsi="EC Square Sans Pro" w:cstheme="minorBidi"/>
      <w:color w:val="000000" w:themeColor="text1"/>
      <w:lang w:eastAsia="en-US"/>
    </w:rPr>
  </w:style>
  <w:style w:type="paragraph" w:customStyle="1" w:styleId="Default">
    <w:name w:val="Default"/>
    <w:rsid w:val="00EF52AE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Cs w:val="24"/>
    </w:rPr>
  </w:style>
  <w:style w:type="paragraph" w:customStyle="1" w:styleId="Pa17">
    <w:name w:val="Pa17"/>
    <w:basedOn w:val="Default"/>
    <w:next w:val="Default"/>
    <w:uiPriority w:val="99"/>
    <w:rsid w:val="00EF52AE"/>
    <w:pPr>
      <w:spacing w:line="241" w:lineRule="atLeast"/>
    </w:pPr>
    <w:rPr>
      <w:rFonts w:cstheme="minorBidi"/>
      <w:color w:val="000000" w:themeColor="text1"/>
    </w:rPr>
  </w:style>
  <w:style w:type="character" w:customStyle="1" w:styleId="A12">
    <w:name w:val="A12"/>
    <w:uiPriority w:val="99"/>
    <w:rsid w:val="00EF52AE"/>
    <w:rPr>
      <w:rFonts w:cs="EC Square Sans Pro"/>
      <w:color w:val="000000"/>
      <w:sz w:val="10"/>
      <w:szCs w:val="10"/>
    </w:rPr>
  </w:style>
  <w:style w:type="character" w:customStyle="1" w:styleId="A6">
    <w:name w:val="A6"/>
    <w:uiPriority w:val="99"/>
    <w:rsid w:val="00EF52AE"/>
    <w:rPr>
      <w:rFonts w:cs="EC Square Sans Pro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F52AE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EF52AE"/>
    <w:pPr>
      <w:spacing w:line="501" w:lineRule="atLeast"/>
    </w:pPr>
    <w:rPr>
      <w:rFonts w:ascii="EC Square Sans Pro Medium" w:hAnsi="EC Square Sans Pro Medium" w:cstheme="minorBidi"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2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218"/>
    <w:rPr>
      <w:rFonts w:ascii="Tahoma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Joanna Plak</cp:lastModifiedBy>
  <cp:revision>4</cp:revision>
  <cp:lastPrinted>2017-02-28T11:32:00Z</cp:lastPrinted>
  <dcterms:created xsi:type="dcterms:W3CDTF">2017-02-28T11:25:00Z</dcterms:created>
  <dcterms:modified xsi:type="dcterms:W3CDTF">2017-02-28T11:32:00Z</dcterms:modified>
</cp:coreProperties>
</file>